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803" w:rsidRPr="00600803" w:rsidRDefault="00600803" w:rsidP="00600803">
      <w:pPr>
        <w:overflowPunct w:val="0"/>
        <w:textAlignment w:val="baseline"/>
        <w:rPr>
          <w:rFonts w:ascii="ＭＳ 明朝" w:eastAsia="ＭＳ 明朝" w:hAnsi="ＭＳ 明朝"/>
          <w:color w:val="000000" w:themeColor="text1"/>
          <w:sz w:val="24"/>
          <w:szCs w:val="24"/>
        </w:rPr>
      </w:pPr>
      <w:r w:rsidRPr="00600803">
        <w:rPr>
          <w:rFonts w:ascii="ＭＳ 明朝" w:eastAsia="ＭＳ 明朝" w:hAnsi="ＭＳ 明朝" w:hint="eastAsia"/>
          <w:color w:val="000000" w:themeColor="text1"/>
          <w:sz w:val="24"/>
          <w:szCs w:val="24"/>
        </w:rPr>
        <w:t>別記（第５条関係）</w:t>
      </w:r>
    </w:p>
    <w:p w:rsidR="00600803" w:rsidRDefault="00600803" w:rsidP="00600803">
      <w:pPr>
        <w:overflowPunct w:val="0"/>
        <w:textAlignment w:val="baseline"/>
        <w:rPr>
          <w:rFonts w:ascii="ＭＳ 明朝" w:eastAsia="ＭＳ 明朝" w:hAnsi="ＭＳ 明朝" w:cs="ＭＳ 明朝" w:hint="eastAsia"/>
          <w:color w:val="000000" w:themeColor="text1"/>
          <w:sz w:val="24"/>
          <w:szCs w:val="24"/>
        </w:rPr>
      </w:pPr>
    </w:p>
    <w:p w:rsidR="00600803" w:rsidRDefault="00600803" w:rsidP="00600803">
      <w:pPr>
        <w:overflowPunct w:val="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１　配偶者やその他親族からの暴力等を理由とした避難事例の取扱い</w:t>
      </w:r>
    </w:p>
    <w:p w:rsidR="00600803" w:rsidRDefault="00600803" w:rsidP="00600803">
      <w:pPr>
        <w:overflowPunct w:val="0"/>
        <w:ind w:left="480" w:hangingChars="200" w:hanging="48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１）以下に掲げる事例であって、かつ、（２）の申出者の満たすべき一定の要件を満たしており、その旨を申し出た場合、当該申出を行った者（以下「申出者」という。）については、基準日時点で申出者が</w:t>
      </w:r>
      <w:r>
        <w:rPr>
          <w:rFonts w:asciiTheme="minorEastAsia" w:hAnsiTheme="minorEastAsia" w:cs="ＭＳ ゴシック" w:hint="eastAsia"/>
          <w:color w:val="000000" w:themeColor="text1"/>
          <w:kern w:val="0"/>
          <w:sz w:val="24"/>
          <w:szCs w:val="24"/>
        </w:rPr>
        <w:t>町</w:t>
      </w:r>
      <w:r>
        <w:rPr>
          <w:rFonts w:ascii="ＭＳ 明朝" w:eastAsia="ＭＳ 明朝" w:hAnsi="ＭＳ 明朝" w:cs="ＭＳ 明朝" w:hint="eastAsia"/>
          <w:color w:val="000000" w:themeColor="text1"/>
          <w:sz w:val="24"/>
          <w:szCs w:val="24"/>
        </w:rPr>
        <w:t>に住民票が所在しない場合にも、当該申出者の</w:t>
      </w:r>
      <w:r>
        <w:rPr>
          <w:rFonts w:asciiTheme="minorEastAsia" w:hAnsiTheme="minorEastAsia" w:cs="ＭＳ ゴシック" w:hint="eastAsia"/>
          <w:color w:val="000000" w:themeColor="text1"/>
          <w:kern w:val="0"/>
          <w:sz w:val="24"/>
          <w:szCs w:val="24"/>
        </w:rPr>
        <w:t>低所得世帯支援給付金</w:t>
      </w:r>
      <w:r>
        <w:rPr>
          <w:rFonts w:ascii="ＭＳ 明朝" w:eastAsia="ＭＳ 明朝" w:hAnsi="ＭＳ 明朝" w:cs="ＭＳ 明朝" w:hint="eastAsia"/>
          <w:color w:val="000000" w:themeColor="text1"/>
          <w:sz w:val="24"/>
          <w:szCs w:val="24"/>
        </w:rPr>
        <w:t>については、</w:t>
      </w:r>
      <w:r>
        <w:rPr>
          <w:rFonts w:asciiTheme="minorEastAsia" w:hAnsiTheme="minorEastAsia" w:cs="ＭＳ ゴシック" w:hint="eastAsia"/>
          <w:color w:val="000000" w:themeColor="text1"/>
          <w:kern w:val="0"/>
          <w:sz w:val="24"/>
          <w:szCs w:val="24"/>
        </w:rPr>
        <w:t>町</w:t>
      </w:r>
      <w:r>
        <w:rPr>
          <w:rFonts w:ascii="ＭＳ 明朝" w:eastAsia="ＭＳ 明朝" w:hAnsi="ＭＳ 明朝" w:cs="ＭＳ 明朝" w:hint="eastAsia"/>
          <w:color w:val="000000" w:themeColor="text1"/>
          <w:sz w:val="24"/>
          <w:szCs w:val="24"/>
        </w:rPr>
        <w:t>から支給する。</w:t>
      </w:r>
    </w:p>
    <w:p w:rsidR="00600803" w:rsidRDefault="00600803" w:rsidP="00600803">
      <w:pPr>
        <w:overflowPunct w:val="0"/>
        <w:ind w:leftChars="200" w:left="660" w:hangingChars="100" w:hanging="24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①　配偶者からの暴力等を理由に避難し、配偶者と生計を別にしている者（婦人相談所一時保護所（一時保護委託契約施設を含む。以下同じ。）または婦人保護施設の入所者の暴力被害が、当該入所者の親族（配偶者を除く。以下同じ。）など、当該入所者が属する世帯の者が加害者であって、当該親族と生計を別にしている入所者を含む。）およびその同伴者であって、基準日において</w:t>
      </w:r>
      <w:r>
        <w:rPr>
          <w:rFonts w:asciiTheme="minorEastAsia" w:hAnsiTheme="minorEastAsia" w:cs="ＭＳ ゴシック" w:hint="eastAsia"/>
          <w:color w:val="000000" w:themeColor="text1"/>
          <w:kern w:val="0"/>
          <w:sz w:val="24"/>
          <w:szCs w:val="24"/>
        </w:rPr>
        <w:t>町</w:t>
      </w:r>
      <w:r>
        <w:rPr>
          <w:rFonts w:ascii="ＭＳ 明朝" w:eastAsia="ＭＳ 明朝" w:hAnsi="ＭＳ 明朝" w:cs="ＭＳ 明朝" w:hint="eastAsia"/>
          <w:color w:val="000000" w:themeColor="text1"/>
          <w:sz w:val="24"/>
          <w:szCs w:val="24"/>
        </w:rPr>
        <w:t>に住民票を移していない者</w:t>
      </w:r>
    </w:p>
    <w:p w:rsidR="00600803" w:rsidRDefault="00600803" w:rsidP="00600803">
      <w:pPr>
        <w:overflowPunct w:val="0"/>
        <w:ind w:leftChars="200" w:left="660" w:hangingChars="100" w:hanging="24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②　親族からの暴力等を理由とした避難事例で、親族からの暴力等を理由に避難している者が自宅には帰れない事情を抱えているもの</w:t>
      </w:r>
    </w:p>
    <w:p w:rsidR="00600803" w:rsidRDefault="00600803" w:rsidP="00600803">
      <w:pPr>
        <w:overflowPunct w:val="0"/>
        <w:ind w:left="480" w:hangingChars="200" w:hanging="48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（２）申出者の満たすべき一定の要件は、次の①から④までに掲げる要件のいずれかを満たすものとする。</w:t>
      </w:r>
    </w:p>
    <w:p w:rsidR="00600803" w:rsidRDefault="00600803" w:rsidP="00600803">
      <w:pPr>
        <w:overflowPunct w:val="0"/>
        <w:ind w:leftChars="209" w:left="679" w:hangingChars="100" w:hanging="24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①　申出者の配偶者に対し、配偶者からの暴力の防止および被害者の保護等に関する法律（平成13年法律第31号）第10条に基づく保護命令（同条第１項第１号に基づく接近禁止命令または同項第２号に基づく退去命令）が出されていること。</w:t>
      </w:r>
    </w:p>
    <w:p w:rsidR="00600803" w:rsidRDefault="00600803" w:rsidP="00600803">
      <w:pPr>
        <w:overflowPunct w:val="0"/>
        <w:ind w:leftChars="209" w:left="679" w:hangingChars="100" w:hanging="24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②　婦人相談所による「配偶者からの暴力の被害者の保護に関する証明書」（親族からの暴力を理由に婦人相談所一時保護所または婦人保護施設に入所している者に婦人相談所により発行される「配偶者からの暴力の被害者の保護に関する証明書」と同様の内容が記載された証明書を含む。））が発行されていること。</w:t>
      </w:r>
    </w:p>
    <w:p w:rsidR="00600803" w:rsidRDefault="00600803" w:rsidP="00600803">
      <w:pPr>
        <w:overflowPunct w:val="0"/>
        <w:ind w:leftChars="302" w:left="634" w:firstLineChars="117" w:firstLine="281"/>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なお、婦人相談所以外の配偶者暴力対応機関（配偶者暴力相談支援センター、福祉事務所および市町村における配偶者暴力相談支援担当部署）や行政機関や関係機関と連携してＤＶ被害者支援を行っている民間支援団体（婦人保護事業委託団体、地域ＤＶ協議会参加団体、補助金等交付団体）が発行した確認書も、上記証明書と同様のものとして取扱う。</w:t>
      </w:r>
    </w:p>
    <w:p w:rsidR="00600803" w:rsidRDefault="00600803" w:rsidP="00600803">
      <w:pPr>
        <w:overflowPunct w:val="0"/>
        <w:ind w:leftChars="159" w:left="574" w:hangingChars="100" w:hanging="24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③　基準日の翌日以降に住民票が居住市町村へ移され、住民基本台帳事務処理要領（昭和42年自治振第150号等自治省行政局長等通知）に基づく支援措置の対象となっていること。</w:t>
      </w:r>
    </w:p>
    <w:p w:rsidR="00600803" w:rsidRDefault="00600803" w:rsidP="00600803">
      <w:pPr>
        <w:overflowPunct w:val="0"/>
        <w:ind w:leftChars="159" w:left="574" w:hangingChars="100" w:hanging="24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④　①から③に掲げる場合のほか、申出者と住民票上の世帯との間に生活の一体性が</w:t>
      </w:r>
      <w:r>
        <w:rPr>
          <w:rFonts w:ascii="ＭＳ 明朝" w:eastAsia="ＭＳ 明朝" w:hAnsi="ＭＳ 明朝" w:cs="ＭＳ 明朝" w:hint="eastAsia"/>
          <w:color w:val="000000" w:themeColor="text1"/>
          <w:sz w:val="24"/>
          <w:szCs w:val="24"/>
        </w:rPr>
        <w:lastRenderedPageBreak/>
        <w:t>ないと認められる場合</w:t>
      </w:r>
    </w:p>
    <w:p w:rsidR="00600803" w:rsidRDefault="00600803" w:rsidP="00600803">
      <w:pPr>
        <w:overflowPunct w:val="0"/>
        <w:ind w:leftChars="100" w:left="810" w:hangingChars="250" w:hanging="60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 xml:space="preserve">　 ※　婦人保護施設等に申出者が児童とともに入所している場合で、申出者の配偶者に対して当該児童への接見命令が発令されている場合など、当該取扱いの趣旨を踏まえ、明らかに申出者と住民票上の世帯との生計が同一ではないと判断することができる場合を含む。</w:t>
      </w:r>
    </w:p>
    <w:p w:rsidR="00600803" w:rsidRDefault="00600803" w:rsidP="00600803">
      <w:pPr>
        <w:overflowPunct w:val="0"/>
        <w:textAlignment w:val="baseline"/>
        <w:rPr>
          <w:rFonts w:ascii="ＭＳ 明朝" w:eastAsia="ＭＳ 明朝" w:hAnsi="ＭＳ 明朝" w:cs="ＭＳ 明朝" w:hint="eastAsia"/>
          <w:color w:val="000000" w:themeColor="text1"/>
          <w:sz w:val="24"/>
          <w:szCs w:val="24"/>
        </w:rPr>
      </w:pPr>
    </w:p>
    <w:p w:rsidR="00600803" w:rsidRDefault="00600803" w:rsidP="00600803">
      <w:pPr>
        <w:overflowPunct w:val="0"/>
        <w:textAlignment w:val="baseline"/>
        <w:rPr>
          <w:rFonts w:ascii="ＭＳ 明朝" w:eastAsia="ＭＳ 明朝" w:hAnsi="ＭＳ 明朝" w:cs="ＭＳ 明朝" w:hint="eastAsia"/>
          <w:color w:val="000000" w:themeColor="text1"/>
          <w:sz w:val="24"/>
          <w:szCs w:val="24"/>
        </w:rPr>
      </w:pPr>
    </w:p>
    <w:p w:rsidR="00600803" w:rsidRDefault="00600803" w:rsidP="00600803">
      <w:pPr>
        <w:overflowPunct w:val="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２　措置入所等児童の取扱い</w:t>
      </w:r>
    </w:p>
    <w:p w:rsidR="00600803" w:rsidRDefault="00600803" w:rsidP="00600803">
      <w:pPr>
        <w:overflowPunct w:val="0"/>
        <w:ind w:leftChars="100" w:left="210" w:firstLineChars="100" w:firstLine="24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基準日において、以下の（１）から（６）までのいずれかに該当する児童（児童（基準日時点で満18歳に満たない者をいう。以下同じ。）および児童以外の者（基準日時点で原則として満22歳に達する日の属する年度の末日までにある者（疾病等やむを得ない事情による休学等により、当該年度の末日を越えて在学している場合を含む。））および（６）における母子生活支援施設の入所者を含む。以下同じ。）については、</w:t>
      </w:r>
      <w:r>
        <w:rPr>
          <w:rFonts w:asciiTheme="minorEastAsia" w:hAnsiTheme="minorEastAsia" w:cs="ＭＳ ゴシック" w:hint="eastAsia"/>
          <w:color w:val="000000" w:themeColor="text1"/>
          <w:kern w:val="0"/>
          <w:sz w:val="24"/>
          <w:szCs w:val="24"/>
        </w:rPr>
        <w:t>町</w:t>
      </w:r>
      <w:r>
        <w:rPr>
          <w:rFonts w:ascii="ＭＳ 明朝" w:eastAsia="ＭＳ 明朝" w:hAnsi="ＭＳ 明朝" w:cs="ＭＳ 明朝" w:hint="eastAsia"/>
          <w:color w:val="000000" w:themeColor="text1"/>
          <w:sz w:val="24"/>
          <w:szCs w:val="24"/>
        </w:rPr>
        <w:t>における申請・受給権者とする。</w:t>
      </w:r>
    </w:p>
    <w:p w:rsidR="00600803" w:rsidRDefault="00600803" w:rsidP="00600803">
      <w:pPr>
        <w:overflowPunct w:val="0"/>
        <w:ind w:left="480" w:hangingChars="200" w:hanging="48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１）児童福祉法（昭和22年法律第164号）第27条第１項第３号の規定により同法第６条の３第８項に規定する小規模住居型児童養育事業を行う者または同法第６条の４に規定する里親に委託されている児童（保護者（児童福祉法第６条に規定する保護者をいう。（２）において同じ。）の疾病、疲労その他の身体上もしくは精神上または環境上の理由により家庭において児童を養育することが一時的に困難となったことに伴い、２月以内の期間を定めて行われる委託をされている児童を除く。）</w:t>
      </w:r>
    </w:p>
    <w:p w:rsidR="00600803" w:rsidRDefault="00600803" w:rsidP="00600803">
      <w:pPr>
        <w:overflowPunct w:val="0"/>
        <w:ind w:left="480" w:hangingChars="200" w:hanging="48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２）児童福祉法第27条第１項第３号の規定により入所措置が採られて同法第42条に規定する障害児入所施設（以下「障害児入所施設」という。）に入所し、もしくは同法第27条第２項の規定により同法第６条の２の２第３項に規定する指定発達支援医療機関（以下「指定発達支援医療機関」という。）に入院し、または同法第27条第１項第３号もしくは第27条の２第１項の規定により入所措置が採られて同法第37条に規定する乳児院、同法第41条に規定する児童養護施設、同法第43条の２に規定する児童心理治療施設もしくは同法第44条に規定する児童自立支援施設（以下「乳児院等」という。）に入所している児童（当該児童心理治療施設または児童自立支援施設に通う者、２月以内の期間を定めて行われる障害児入所施設への入所または指定発達支援医療機関への入院をしている者および保護者の疾病、疲労その他の身体上もしくは精神上または環境上の理由により家庭において児童を養育することが一時的に困難となったことに伴い、２月以内の期間を定めて行われる乳児院等への入所をしている児童を除く。）</w:t>
      </w:r>
    </w:p>
    <w:p w:rsidR="00600803" w:rsidRDefault="00600803" w:rsidP="00600803">
      <w:pPr>
        <w:overflowPunct w:val="0"/>
        <w:ind w:left="480" w:hangingChars="200" w:hanging="48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（３）身体障害者福祉法（昭和24年法律第283号）第18条第２項もしくは知的障害者福祉法（昭和35年法律第373号）第16条第１項第２号の規定により入所措置が採</w:t>
      </w:r>
      <w:r>
        <w:rPr>
          <w:rFonts w:ascii="ＭＳ 明朝" w:eastAsia="ＭＳ 明朝" w:hAnsi="ＭＳ 明朝" w:cs="ＭＳ 明朝" w:hint="eastAsia"/>
          <w:color w:val="000000" w:themeColor="text1"/>
          <w:sz w:val="24"/>
          <w:szCs w:val="24"/>
        </w:rPr>
        <w:lastRenderedPageBreak/>
        <w:t>られて障害者支援施設（障害者の日常生活及び社会生活を総合的に支援するための法律（平成17年法律第123号。）第５条第11項に規定する障害者支援施設をいう。）またはのぞみの園（独立行政法人国立重度知的障害者総合施設のぞみの園法（平成14年法律第167号）第11条第１号の規定により独立行政法人国立重度知的障害者総合施設のぞみの園が設置する施設をいう。）に入所している児童（２月以内の期間を定めて行われる入所をしている者を除き、18歳に達する日以後の最初の３月31日までの間にある者のみで構成する世帯に属している者に限る。）</w:t>
      </w:r>
    </w:p>
    <w:p w:rsidR="00600803" w:rsidRDefault="00600803" w:rsidP="00600803">
      <w:pPr>
        <w:overflowPunct w:val="0"/>
        <w:ind w:left="480" w:hangingChars="200" w:hanging="48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４）生活保護法（昭和25年法律第144号）第30条第１項ただし書の規定により同法第38条第２項に規定する救護施設、同条第３項に規定する更生施設もしくは同法第30条第１項ただし書に規定する日常生活支援住居施設に入所し、または売春防止法（昭和31年法律第118号）第36条に規定する婦人保護施設に入所している児童（２月以内の期間を定めて行われる入所をしている者および一時保護委託がされている者を除き、18歳に達する日以後の最初の３月31日までの間にある者のみで構成する世帯に属している者に限る。）</w:t>
      </w:r>
    </w:p>
    <w:p w:rsidR="00600803" w:rsidRDefault="00600803" w:rsidP="00600803">
      <w:pPr>
        <w:overflowPunct w:val="0"/>
        <w:ind w:left="480" w:hangingChars="200" w:hanging="48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（５）児童福祉法第25 条の７第１項第３号の規定により同法第６条の３第１項に規定する児童自立生活援助事業における住居に入居している児童等（２月以内の期間を定めて行われる入所をしている者を除き、児童以外の者にあっては、同法の規定および「社会的養護自立支援事業等の実施について」により、入居している者に限る。）</w:t>
      </w:r>
    </w:p>
    <w:p w:rsidR="00600803" w:rsidRDefault="00600803" w:rsidP="00600803">
      <w:pPr>
        <w:overflowPunct w:val="0"/>
        <w:ind w:left="480" w:hangingChars="200" w:hanging="48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（６）児童福祉法第23 条第１項の規定により同法第38 条に規定する母子生活支援施設（以下「母子生活支援施設」という。）に入所している者（２月以内の期間を定めて行われる入所をしている者を除く。）</w:t>
      </w:r>
    </w:p>
    <w:p w:rsidR="00600803" w:rsidRDefault="00600803" w:rsidP="00600803">
      <w:pPr>
        <w:overflowPunct w:val="0"/>
        <w:ind w:left="480" w:hangingChars="200" w:hanging="480"/>
        <w:textAlignment w:val="baseline"/>
        <w:rPr>
          <w:rFonts w:ascii="ＭＳ 明朝" w:eastAsia="ＭＳ 明朝" w:hAnsi="ＭＳ 明朝" w:cs="ＭＳ 明朝" w:hint="eastAsia"/>
          <w:color w:val="000000" w:themeColor="text1"/>
          <w:sz w:val="24"/>
          <w:szCs w:val="24"/>
        </w:rPr>
      </w:pPr>
    </w:p>
    <w:p w:rsidR="00600803" w:rsidRDefault="00600803" w:rsidP="00600803">
      <w:pPr>
        <w:overflowPunct w:val="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３　入所措置等が執られている障害者・高齢者の取扱い</w:t>
      </w:r>
    </w:p>
    <w:p w:rsidR="00600803" w:rsidRDefault="00600803" w:rsidP="00600803">
      <w:pPr>
        <w:overflowPunct w:val="0"/>
        <w:ind w:leftChars="100" w:left="210" w:firstLineChars="100" w:firstLine="24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以下の（１）または（２）のいずれかに該当する「措置入所等障害者」および「措置入所等高齢者」（以下「措置入所等障害者・高齢者」という。）であって、基準日において、町に住民基本台帳に記録されている者については、町における申請・受給権者とする。ただし、町で入所等の措置を講じ、措置入所等担当課室から給付金担当課室に対して、施設所在市町村に住民票を移していない措置入所等障害者・高齢者に関する情報提供が行われた場合、当該措置入所等障害者・高齢者に支給する。</w:t>
      </w:r>
    </w:p>
    <w:p w:rsidR="00600803" w:rsidRDefault="00600803" w:rsidP="00600803">
      <w:pPr>
        <w:overflowPunct w:val="0"/>
        <w:ind w:left="480" w:hangingChars="200" w:hanging="48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１）「措置入所等障害者」とは、身体障害者福祉法（昭和24年法律第283号）第18条第１項もしくは第２項または知的障害者福祉法（昭和35年法律第37号）第15条の４もしくは第16条第１項第２号の規定による措置が執られている者（措置が執られている者には、措置施設入所者や措置入所に準ずるものとして措置権者が適当と認める者（成年後見人、代理権付与の審判がされた保佐人および代理権付与の審判がされた補助人が選任されている者等を含む。）を含む。以下同じ。）（２月以内の期間を定めて行われる入所等をしている者を除く。）</w:t>
      </w:r>
    </w:p>
    <w:p w:rsidR="00600803" w:rsidRDefault="00600803" w:rsidP="00600803">
      <w:pPr>
        <w:overflowPunct w:val="0"/>
        <w:ind w:left="480" w:hangingChars="200" w:hanging="48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lastRenderedPageBreak/>
        <w:t>（２）「措置入所等高齢者」とは、老人福祉法（昭和38年法律第133号）第10条の４第１項および第11条第１項の規定による入所等の措置等が執られている者（２月以内の期間を定めて行われる入所等をしている者を除く。）</w:t>
      </w:r>
    </w:p>
    <w:p w:rsidR="00600803" w:rsidRDefault="00600803" w:rsidP="00600803">
      <w:pPr>
        <w:overflowPunct w:val="0"/>
        <w:textAlignment w:val="baseline"/>
        <w:rPr>
          <w:rFonts w:ascii="ＭＳ 明朝" w:eastAsia="ＭＳ 明朝" w:hAnsi="ＭＳ 明朝" w:cs="ＭＳ 明朝" w:hint="eastAsia"/>
          <w:color w:val="000000" w:themeColor="text1"/>
          <w:sz w:val="24"/>
          <w:szCs w:val="24"/>
        </w:rPr>
      </w:pPr>
    </w:p>
    <w:p w:rsidR="00600803" w:rsidRDefault="00600803" w:rsidP="00600803">
      <w:pPr>
        <w:overflowPunct w:val="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４　ホームレス等の取扱い</w:t>
      </w:r>
    </w:p>
    <w:p w:rsidR="00600803" w:rsidRDefault="00600803" w:rsidP="00600803">
      <w:pPr>
        <w:overflowPunct w:val="0"/>
        <w:ind w:leftChars="100" w:left="210" w:firstLineChars="100" w:firstLine="24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居住が安定していないいわゆるホームレスの方や事実上ネットカフェに寝泊まりしている者であって、いずれの市区町村の住民基本台帳にも記録されていない者について、基準日の翌日以降、</w:t>
      </w:r>
      <w:r>
        <w:rPr>
          <w:rFonts w:asciiTheme="minorEastAsia" w:hAnsiTheme="minorEastAsia" w:cs="ＭＳ ゴシック" w:hint="eastAsia"/>
          <w:color w:val="000000" w:themeColor="text1"/>
          <w:kern w:val="0"/>
          <w:sz w:val="24"/>
          <w:szCs w:val="24"/>
        </w:rPr>
        <w:t>町</w:t>
      </w:r>
      <w:r>
        <w:rPr>
          <w:rFonts w:ascii="ＭＳ 明朝" w:eastAsia="ＭＳ 明朝" w:hAnsi="ＭＳ 明朝" w:cs="ＭＳ 明朝" w:hint="eastAsia"/>
          <w:color w:val="000000" w:themeColor="text1"/>
          <w:sz w:val="24"/>
          <w:szCs w:val="24"/>
        </w:rPr>
        <w:t>において住民基本台帳に記録されたときは、</w:t>
      </w:r>
      <w:r>
        <w:rPr>
          <w:rFonts w:asciiTheme="minorEastAsia" w:hAnsiTheme="minorEastAsia" w:cs="ＭＳ ゴシック" w:hint="eastAsia"/>
          <w:color w:val="000000" w:themeColor="text1"/>
          <w:kern w:val="0"/>
          <w:sz w:val="24"/>
          <w:szCs w:val="24"/>
        </w:rPr>
        <w:t>町</w:t>
      </w:r>
      <w:r>
        <w:rPr>
          <w:rFonts w:ascii="ＭＳ 明朝" w:eastAsia="ＭＳ 明朝" w:hAnsi="ＭＳ 明朝" w:cs="ＭＳ 明朝" w:hint="eastAsia"/>
          <w:color w:val="000000" w:themeColor="text1"/>
          <w:sz w:val="24"/>
          <w:szCs w:val="24"/>
        </w:rPr>
        <w:t>における申請・受給権者とする。</w:t>
      </w:r>
    </w:p>
    <w:p w:rsidR="00600803" w:rsidRDefault="00600803" w:rsidP="00600803">
      <w:pPr>
        <w:overflowPunct w:val="0"/>
        <w:ind w:left="240" w:hangingChars="100" w:hanging="240"/>
        <w:textAlignment w:val="baseline"/>
        <w:rPr>
          <w:rFonts w:ascii="ＭＳ 明朝" w:eastAsia="ＭＳ 明朝" w:hAnsi="ＭＳ 明朝" w:cs="ＭＳ 明朝" w:hint="eastAsia"/>
          <w:color w:val="000000" w:themeColor="text1"/>
          <w:sz w:val="24"/>
          <w:szCs w:val="24"/>
        </w:rPr>
      </w:pPr>
      <w:bookmarkStart w:id="0" w:name="_GoBack"/>
      <w:bookmarkEnd w:id="0"/>
    </w:p>
    <w:p w:rsidR="00600803" w:rsidRDefault="00600803" w:rsidP="00600803">
      <w:pPr>
        <w:overflowPunct w:val="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５　無戸籍者の取扱い</w:t>
      </w:r>
    </w:p>
    <w:p w:rsidR="00600803" w:rsidRDefault="00600803" w:rsidP="00600803">
      <w:pPr>
        <w:overflowPunct w:val="0"/>
        <w:ind w:leftChars="100" w:left="210" w:firstLineChars="100" w:firstLine="240"/>
        <w:textAlignment w:val="baseline"/>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現に住民基本台帳に記録されていない者であって、自己またはその未成年の子等が無戸籍であると</w:t>
      </w:r>
      <w:r>
        <w:rPr>
          <w:rFonts w:asciiTheme="minorEastAsia" w:hAnsiTheme="minorEastAsia" w:cs="ＭＳ ゴシック" w:hint="eastAsia"/>
          <w:color w:val="000000" w:themeColor="text1"/>
          <w:kern w:val="0"/>
          <w:sz w:val="24"/>
          <w:szCs w:val="24"/>
        </w:rPr>
        <w:t>町</w:t>
      </w:r>
      <w:r>
        <w:rPr>
          <w:rFonts w:ascii="ＭＳ 明朝" w:eastAsia="ＭＳ 明朝" w:hAnsi="ＭＳ 明朝" w:cs="ＭＳ 明朝" w:hint="eastAsia"/>
          <w:color w:val="000000" w:themeColor="text1"/>
          <w:sz w:val="24"/>
          <w:szCs w:val="24"/>
        </w:rPr>
        <w:t>に申し出た者について、法務局等において無戸籍者として把握していることを</w:t>
      </w:r>
      <w:r>
        <w:rPr>
          <w:rFonts w:asciiTheme="minorEastAsia" w:hAnsiTheme="minorEastAsia" w:cs="ＭＳ ゴシック" w:hint="eastAsia"/>
          <w:color w:val="000000" w:themeColor="text1"/>
          <w:kern w:val="0"/>
          <w:sz w:val="24"/>
          <w:szCs w:val="24"/>
        </w:rPr>
        <w:t>町</w:t>
      </w:r>
      <w:r>
        <w:rPr>
          <w:rFonts w:ascii="ＭＳ 明朝" w:eastAsia="ＭＳ 明朝" w:hAnsi="ＭＳ 明朝" w:cs="ＭＳ 明朝" w:hint="eastAsia"/>
          <w:color w:val="000000" w:themeColor="text1"/>
          <w:sz w:val="24"/>
          <w:szCs w:val="24"/>
        </w:rPr>
        <w:t>長が相当と認めるときは、</w:t>
      </w:r>
      <w:r>
        <w:rPr>
          <w:rFonts w:asciiTheme="minorEastAsia" w:hAnsiTheme="minorEastAsia" w:cs="ＭＳ ゴシック" w:hint="eastAsia"/>
          <w:color w:val="000000" w:themeColor="text1"/>
          <w:kern w:val="0"/>
          <w:sz w:val="24"/>
          <w:szCs w:val="24"/>
        </w:rPr>
        <w:t>町</w:t>
      </w:r>
      <w:r>
        <w:rPr>
          <w:rFonts w:ascii="ＭＳ 明朝" w:eastAsia="ＭＳ 明朝" w:hAnsi="ＭＳ 明朝" w:cs="ＭＳ 明朝" w:hint="eastAsia"/>
          <w:color w:val="000000" w:themeColor="text1"/>
          <w:sz w:val="24"/>
          <w:szCs w:val="24"/>
        </w:rPr>
        <w:t>における申請・受給権者とする。</w:t>
      </w:r>
    </w:p>
    <w:p w:rsidR="00F44AB4" w:rsidRDefault="00F44AB4"/>
    <w:sectPr w:rsidR="00F44AB4" w:rsidSect="00600803">
      <w:pgSz w:w="11906" w:h="16838"/>
      <w:pgMar w:top="1985" w:right="1416"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CC"/>
    <w:rsid w:val="005B78CC"/>
    <w:rsid w:val="00600803"/>
    <w:rsid w:val="00F44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8089A95-5661-461F-9F7D-35CAF69C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8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67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青空</dc:creator>
  <cp:keywords/>
  <dc:description/>
  <cp:lastModifiedBy>大平 青空</cp:lastModifiedBy>
  <cp:revision>3</cp:revision>
  <dcterms:created xsi:type="dcterms:W3CDTF">2024-04-30T02:26:00Z</dcterms:created>
  <dcterms:modified xsi:type="dcterms:W3CDTF">2024-04-30T02:27:00Z</dcterms:modified>
</cp:coreProperties>
</file>